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4387"/>
        <w:gridCol w:w="1620"/>
        <w:gridCol w:w="2730"/>
      </w:tblGrid>
      <w:tr w:rsidR="007C2F7E" w:rsidRPr="0052025A" w14:paraId="654FEF2B" w14:textId="77777777" w:rsidTr="00202E4D">
        <w:trPr>
          <w:jc w:val="center"/>
        </w:trPr>
        <w:tc>
          <w:tcPr>
            <w:tcW w:w="217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0B1362" w14:textId="77777777" w:rsidR="007C2F7E" w:rsidRPr="00272784" w:rsidRDefault="007C2F7E" w:rsidP="00202E4D">
            <w:pPr>
              <w:pStyle w:val="Label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noProof/>
                <w:sz w:val="48"/>
                <w:szCs w:val="48"/>
              </w:rPr>
              <w:drawing>
                <wp:inline distT="0" distB="0" distL="0" distR="0" wp14:anchorId="240994E3" wp14:editId="1EA189E1">
                  <wp:extent cx="1236980" cy="86233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VA-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F37158" w14:textId="77777777" w:rsidR="007C2F7E" w:rsidRPr="002B4827" w:rsidRDefault="007C2F7E" w:rsidP="00202E4D">
            <w:pPr>
              <w:rPr>
                <w:szCs w:val="20"/>
              </w:rPr>
            </w:pPr>
            <w:r>
              <w:rPr>
                <w:b/>
                <w:sz w:val="24"/>
                <w:szCs w:val="24"/>
              </w:rPr>
              <w:t>Montverde Academy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923D79">
              <w:rPr>
                <w:b/>
                <w:sz w:val="24"/>
                <w:szCs w:val="24"/>
              </w:rPr>
              <w:t>Company Profile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0"/>
              </w:rPr>
              <w:t>Montverde Academy is an independent boarding and day school comprised of 1000 students from over 60 countries.  Our college prep curriculum ensures a 100% college acceptance rate and our students have the foundation to succeed in top notch Division I and Ivy League colleges and universities.</w:t>
            </w:r>
          </w:p>
        </w:tc>
      </w:tr>
      <w:tr w:rsidR="007C2F7E" w:rsidRPr="0052025A" w14:paraId="6DA2D522" w14:textId="77777777" w:rsidTr="00202E4D">
        <w:trPr>
          <w:jc w:val="center"/>
        </w:trPr>
        <w:tc>
          <w:tcPr>
            <w:tcW w:w="2178" w:type="dxa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973949" w14:textId="77777777" w:rsidR="007C2F7E" w:rsidRPr="0052025A" w:rsidRDefault="007C2F7E" w:rsidP="00202E4D">
            <w:pPr>
              <w:pStyle w:val="Label"/>
              <w:jc w:val="right"/>
            </w:pPr>
            <w:r>
              <w:t>Job Title</w:t>
            </w:r>
            <w:r w:rsidRPr="0052025A">
              <w:t>:</w:t>
            </w:r>
          </w:p>
        </w:tc>
        <w:tc>
          <w:tcPr>
            <w:tcW w:w="438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7D783E" w14:textId="77777777" w:rsidR="007C2F7E" w:rsidRPr="0052025A" w:rsidRDefault="007C2F7E" w:rsidP="00202E4D">
            <w:r>
              <w:t>Learning Support Specialist/Teacher</w:t>
            </w:r>
          </w:p>
        </w:tc>
        <w:tc>
          <w:tcPr>
            <w:tcW w:w="1620" w:type="dxa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7AAA62" w14:textId="77777777" w:rsidR="007C2F7E" w:rsidRPr="0052025A" w:rsidRDefault="007C2F7E" w:rsidP="00202E4D">
            <w:pPr>
              <w:pStyle w:val="Label"/>
            </w:pPr>
            <w:r>
              <w:t>Reports To</w:t>
            </w:r>
            <w:r w:rsidRPr="0052025A">
              <w:t>:</w:t>
            </w:r>
          </w:p>
        </w:tc>
        <w:tc>
          <w:tcPr>
            <w:tcW w:w="273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E72C80" w14:textId="77777777" w:rsidR="007C2F7E" w:rsidRPr="0052025A" w:rsidRDefault="007C2F7E" w:rsidP="00202E4D">
            <w:r>
              <w:t>Director of Learning Support Services and Academic Deans</w:t>
            </w:r>
          </w:p>
        </w:tc>
      </w:tr>
      <w:tr w:rsidR="007C2F7E" w:rsidRPr="0052025A" w14:paraId="53A79910" w14:textId="77777777" w:rsidTr="00202E4D">
        <w:trPr>
          <w:jc w:val="center"/>
        </w:trPr>
        <w:tc>
          <w:tcPr>
            <w:tcW w:w="10915" w:type="dxa"/>
            <w:gridSpan w:val="4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760C1" w14:textId="55C4BD8F" w:rsidR="007C2F7E" w:rsidRPr="004B2105" w:rsidRDefault="007C2F7E" w:rsidP="00202E4D">
            <w:pPr>
              <w:spacing w:after="0"/>
              <w:rPr>
                <w:szCs w:val="20"/>
              </w:rPr>
            </w:pPr>
            <w:r>
              <w:t xml:space="preserve">Job Description:  </w:t>
            </w:r>
            <w:r w:rsidRPr="004B2105">
              <w:rPr>
                <w:szCs w:val="20"/>
              </w:rPr>
              <w:t xml:space="preserve">Provide a full range of </w:t>
            </w:r>
            <w:r>
              <w:rPr>
                <w:szCs w:val="20"/>
              </w:rPr>
              <w:t>academic assistance</w:t>
            </w:r>
            <w:r w:rsidRPr="004B2105">
              <w:rPr>
                <w:szCs w:val="20"/>
              </w:rPr>
              <w:t xml:space="preserve"> to</w:t>
            </w:r>
            <w:r>
              <w:rPr>
                <w:szCs w:val="20"/>
              </w:rPr>
              <w:t xml:space="preserve"> students in 6</w:t>
            </w:r>
            <w:r w:rsidRPr="007C2F7E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>-12</w:t>
            </w:r>
            <w:r w:rsidRPr="007C2F7E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grade</w:t>
            </w:r>
            <w:r w:rsidRPr="004B2105">
              <w:rPr>
                <w:szCs w:val="20"/>
              </w:rPr>
              <w:t xml:space="preserve">. The </w:t>
            </w:r>
            <w:r>
              <w:rPr>
                <w:szCs w:val="20"/>
              </w:rPr>
              <w:t xml:space="preserve">Learning Support Specialist/Teacher </w:t>
            </w:r>
            <w:r w:rsidRPr="004B2105">
              <w:rPr>
                <w:szCs w:val="20"/>
              </w:rPr>
              <w:t xml:space="preserve">assumes duties and responsibilities from the </w:t>
            </w:r>
            <w:r>
              <w:rPr>
                <w:szCs w:val="20"/>
              </w:rPr>
              <w:t>Director of Learning Support Services’</w:t>
            </w:r>
            <w:r w:rsidRPr="004B2105">
              <w:rPr>
                <w:szCs w:val="20"/>
              </w:rPr>
              <w:t xml:space="preserve"> description as directed and supervised by the Dean of the </w:t>
            </w:r>
            <w:r>
              <w:rPr>
                <w:szCs w:val="20"/>
              </w:rPr>
              <w:t xml:space="preserve">Upper School, Dean of the </w:t>
            </w:r>
            <w:r w:rsidRPr="004B2105">
              <w:rPr>
                <w:szCs w:val="20"/>
              </w:rPr>
              <w:t>Middle School</w:t>
            </w:r>
            <w:r>
              <w:rPr>
                <w:szCs w:val="20"/>
              </w:rPr>
              <w:t xml:space="preserve"> and Director of Learning Support Services. </w:t>
            </w:r>
            <w:r w:rsidRPr="004B2105">
              <w:rPr>
                <w:szCs w:val="20"/>
              </w:rPr>
              <w:t xml:space="preserve">These responsibilities include, but are not necessarily limited </w:t>
            </w:r>
            <w:r w:rsidR="00276125" w:rsidRPr="004B2105">
              <w:rPr>
                <w:szCs w:val="20"/>
              </w:rPr>
              <w:t>to</w:t>
            </w:r>
            <w:r w:rsidR="00276125">
              <w:rPr>
                <w:szCs w:val="20"/>
              </w:rPr>
              <w:t xml:space="preserve">, </w:t>
            </w:r>
            <w:r w:rsidR="00276125" w:rsidRPr="004B2105">
              <w:rPr>
                <w:szCs w:val="20"/>
              </w:rPr>
              <w:t>the</w:t>
            </w:r>
            <w:r w:rsidRPr="004B2105">
              <w:rPr>
                <w:szCs w:val="20"/>
              </w:rPr>
              <w:t xml:space="preserve"> following areas listed below.</w:t>
            </w:r>
          </w:p>
        </w:tc>
      </w:tr>
      <w:tr w:rsidR="007C2F7E" w:rsidRPr="0052025A" w14:paraId="5C3C7699" w14:textId="77777777" w:rsidTr="00202E4D">
        <w:trPr>
          <w:jc w:val="center"/>
        </w:trPr>
        <w:tc>
          <w:tcPr>
            <w:tcW w:w="10915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A7E98E" w14:textId="77777777" w:rsidR="007C2F7E" w:rsidRDefault="007C2F7E" w:rsidP="00202E4D">
            <w:pPr>
              <w:rPr>
                <w:rStyle w:val="BulletedListChar"/>
              </w:rPr>
            </w:pPr>
            <w:r w:rsidRPr="002E00B3">
              <w:rPr>
                <w:rStyle w:val="BulletedListChar"/>
              </w:rPr>
              <w:br/>
            </w:r>
            <w:r w:rsidRPr="002E00B3">
              <w:rPr>
                <w:rStyle w:val="BulletedListChar"/>
                <w:b/>
              </w:rPr>
              <w:t>Responsibilities</w:t>
            </w:r>
            <w:r w:rsidRPr="002E00B3">
              <w:rPr>
                <w:rStyle w:val="BulletedListChar"/>
              </w:rPr>
              <w:t>:</w:t>
            </w:r>
          </w:p>
          <w:p w14:paraId="47B7D842" w14:textId="77777777" w:rsidR="007C2F7E" w:rsidRDefault="007C2F7E" w:rsidP="007C2F7E">
            <w:pPr>
              <w:pStyle w:val="Normal1"/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Have an in-depth and working knowledge of learning disabilities or other diagnosis that would warrant educational accommodations.</w:t>
            </w:r>
          </w:p>
          <w:p w14:paraId="72F0367D" w14:textId="77777777" w:rsidR="007C2F7E" w:rsidRPr="00CF41B8" w:rsidRDefault="007C2F7E" w:rsidP="007C2F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</w:pPr>
            <w:r w:rsidRPr="00CF41B8">
              <w:t xml:space="preserve">Provide in-service opportunities for </w:t>
            </w:r>
            <w:r w:rsidR="00B87232">
              <w:t xml:space="preserve">fellow </w:t>
            </w:r>
            <w:r w:rsidRPr="00CF41B8">
              <w:t xml:space="preserve">teachers on how to support students with varying learning needs </w:t>
            </w:r>
          </w:p>
          <w:p w14:paraId="04674370" w14:textId="77777777" w:rsidR="00B87232" w:rsidRDefault="007C2F7E" w:rsidP="007C2F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</w:pPr>
            <w:r w:rsidRPr="00CF41B8">
              <w:t xml:space="preserve">Provide various test accommodations for subject area </w:t>
            </w:r>
            <w:r w:rsidR="00B87232">
              <w:t>tests in Middle and Upper School</w:t>
            </w:r>
          </w:p>
          <w:p w14:paraId="0892D411" w14:textId="77777777" w:rsidR="007C2F7E" w:rsidRPr="00CF41B8" w:rsidRDefault="00B87232" w:rsidP="007C2F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</w:pPr>
            <w:r>
              <w:t xml:space="preserve">Serve as a test proctor for students with accommodations on standardized test such as PSAT, SAT, AP and ACT </w:t>
            </w:r>
            <w:r w:rsidR="007C2F7E" w:rsidRPr="00CF41B8">
              <w:t xml:space="preserve"> </w:t>
            </w:r>
          </w:p>
          <w:p w14:paraId="03DE4262" w14:textId="77777777" w:rsidR="007C2F7E" w:rsidRPr="00CF41B8" w:rsidRDefault="007C2F7E" w:rsidP="007C2F7E">
            <w:pPr>
              <w:pStyle w:val="ListParagraph"/>
              <w:numPr>
                <w:ilvl w:val="0"/>
                <w:numId w:val="2"/>
              </w:numPr>
            </w:pPr>
            <w:r w:rsidRPr="00CF41B8">
              <w:t xml:space="preserve">Teach students various strategies for planning, time management, and organizational skills </w:t>
            </w:r>
          </w:p>
          <w:p w14:paraId="00A5518B" w14:textId="77777777" w:rsidR="007C2F7E" w:rsidRDefault="007C2F7E" w:rsidP="007C2F7E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700"/>
              </w:tabs>
            </w:pPr>
            <w:r w:rsidRPr="00CF41B8">
              <w:t xml:space="preserve">Demonstrate good study &amp; test taking skills to students in preparation for </w:t>
            </w:r>
            <w:r>
              <w:t>t</w:t>
            </w:r>
            <w:r w:rsidRPr="00CF41B8">
              <w:t>est &amp; quizzes</w:t>
            </w:r>
          </w:p>
          <w:p w14:paraId="6135EDDA" w14:textId="77777777" w:rsidR="007C2F7E" w:rsidRDefault="007C2F7E" w:rsidP="007C2F7E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700"/>
              </w:tabs>
            </w:pPr>
            <w:r w:rsidRPr="00CF41B8">
              <w:t>Provide support on homework, projects, and essays</w:t>
            </w:r>
          </w:p>
          <w:p w14:paraId="6CF2B26A" w14:textId="77777777" w:rsidR="007C2F7E" w:rsidRDefault="007C2F7E" w:rsidP="007C2F7E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700"/>
              </w:tabs>
            </w:pPr>
            <w:r w:rsidRPr="00CF41B8">
              <w:t xml:space="preserve">Track students’ progress in all subject areas  </w:t>
            </w:r>
          </w:p>
          <w:p w14:paraId="35B3793B" w14:textId="77777777" w:rsidR="007C2F7E" w:rsidRDefault="007C2F7E" w:rsidP="007C2F7E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700"/>
              </w:tabs>
            </w:pPr>
            <w:r w:rsidRPr="00CF41B8">
              <w:t xml:space="preserve">Monitor students’ grades for any low assignment grades or missing assignments </w:t>
            </w:r>
          </w:p>
          <w:p w14:paraId="413E957D" w14:textId="2C0493ED" w:rsidR="007C2F7E" w:rsidRDefault="007C2F7E" w:rsidP="007C2F7E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700"/>
              </w:tabs>
            </w:pPr>
            <w:r>
              <w:t>Be comfortable assisting students with relearning and practicing</w:t>
            </w:r>
            <w:r w:rsidRPr="00CF41B8">
              <w:t xml:space="preserve"> math concepts </w:t>
            </w:r>
            <w:r w:rsidR="00B87232" w:rsidRPr="00CF41B8">
              <w:t>f</w:t>
            </w:r>
            <w:r w:rsidR="00B87232">
              <w:t xml:space="preserve">rom </w:t>
            </w:r>
            <w:r w:rsidR="00B87232" w:rsidRPr="00CF41B8">
              <w:t>6</w:t>
            </w:r>
            <w:r w:rsidRPr="00307EB3">
              <w:rPr>
                <w:vertAlign w:val="superscript"/>
              </w:rPr>
              <w:t>th</w:t>
            </w:r>
            <w:r w:rsidRPr="00CF41B8">
              <w:t xml:space="preserve"> </w:t>
            </w:r>
            <w:r>
              <w:t>G</w:t>
            </w:r>
            <w:r w:rsidRPr="00CF41B8">
              <w:t>rade</w:t>
            </w:r>
            <w:r>
              <w:t xml:space="preserve"> Math</w:t>
            </w:r>
            <w:r w:rsidRPr="00CF41B8">
              <w:t xml:space="preserve"> to </w:t>
            </w:r>
            <w:r>
              <w:t>Algebra II and Geometry</w:t>
            </w:r>
          </w:p>
          <w:p w14:paraId="46ABA398" w14:textId="5C08BEAF" w:rsidR="00F1414D" w:rsidRDefault="00F1414D" w:rsidP="007C2F7E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700"/>
              </w:tabs>
            </w:pPr>
            <w:r>
              <w:t xml:space="preserve">Be comfortable assisting students with writing assignments and editing skills </w:t>
            </w:r>
          </w:p>
          <w:p w14:paraId="18F9BA13" w14:textId="77777777" w:rsidR="007C2F7E" w:rsidRDefault="007C2F7E" w:rsidP="007C2F7E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700"/>
              </w:tabs>
            </w:pPr>
            <w:r w:rsidRPr="00CF41B8">
              <w:t>Communicate regularly with teachers and staff about students</w:t>
            </w:r>
            <w:r>
              <w:t>’</w:t>
            </w:r>
            <w:r w:rsidRPr="00CF41B8">
              <w:t xml:space="preserve"> learning needs  </w:t>
            </w:r>
          </w:p>
          <w:p w14:paraId="3F642054" w14:textId="77777777" w:rsidR="00B87232" w:rsidRPr="00B87232" w:rsidRDefault="007C2F7E" w:rsidP="00B8723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700"/>
              </w:tabs>
            </w:pPr>
            <w:r w:rsidRPr="009676A0">
              <w:rPr>
                <w:rFonts w:ascii="Calibri" w:eastAsia="Calibri" w:hAnsi="Calibri" w:cs="Calibri"/>
              </w:rPr>
              <w:t>To provide guida</w:t>
            </w:r>
            <w:r>
              <w:rPr>
                <w:rFonts w:ascii="Calibri" w:eastAsia="Calibri" w:hAnsi="Calibri" w:cs="Calibri"/>
              </w:rPr>
              <w:t>nce to fellow faculty</w:t>
            </w:r>
            <w:r w:rsidRPr="009676A0">
              <w:rPr>
                <w:rFonts w:ascii="Calibri" w:eastAsia="Calibri" w:hAnsi="Calibri" w:cs="Calibri"/>
              </w:rPr>
              <w:t xml:space="preserve"> on the choice of appropriate teaching and learning methods, provi</w:t>
            </w:r>
            <w:r>
              <w:rPr>
                <w:rFonts w:ascii="Calibri" w:eastAsia="Calibri" w:hAnsi="Calibri" w:cs="Calibri"/>
              </w:rPr>
              <w:t>sion of approved accommodations</w:t>
            </w:r>
          </w:p>
          <w:p w14:paraId="7F38FD8B" w14:textId="77777777" w:rsidR="007C2F7E" w:rsidRPr="00B87232" w:rsidRDefault="007C2F7E" w:rsidP="00B87232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2700"/>
              </w:tabs>
            </w:pPr>
            <w:r w:rsidRPr="00B87232">
              <w:t xml:space="preserve">Communicate effectively with parents regarding the student’s progress as well as </w:t>
            </w:r>
            <w:r w:rsidR="00B87232" w:rsidRPr="00B87232">
              <w:t>difficulties or struggles</w:t>
            </w:r>
          </w:p>
          <w:p w14:paraId="4863C531" w14:textId="77777777" w:rsidR="007C2F7E" w:rsidRDefault="007C2F7E" w:rsidP="00202E4D">
            <w:pPr>
              <w:pStyle w:val="BulletedList"/>
              <w:numPr>
                <w:ilvl w:val="0"/>
                <w:numId w:val="0"/>
              </w:numPr>
              <w:ind w:left="720"/>
            </w:pPr>
          </w:p>
          <w:p w14:paraId="3690C0D8" w14:textId="77777777" w:rsidR="007C2F7E" w:rsidRPr="009F158F" w:rsidRDefault="007C2F7E" w:rsidP="00202E4D">
            <w:pPr>
              <w:pStyle w:val="BulletedList"/>
              <w:numPr>
                <w:ilvl w:val="0"/>
                <w:numId w:val="0"/>
              </w:numPr>
              <w:rPr>
                <w:rStyle w:val="apple-style-span"/>
                <w:b/>
                <w:szCs w:val="18"/>
              </w:rPr>
            </w:pPr>
            <w:r w:rsidRPr="009F158F">
              <w:rPr>
                <w:rStyle w:val="apple-style-span"/>
                <w:b/>
                <w:szCs w:val="18"/>
              </w:rPr>
              <w:t>Qualifications:</w:t>
            </w:r>
          </w:p>
          <w:p w14:paraId="6A42E25A" w14:textId="77777777" w:rsidR="00B87232" w:rsidRPr="00F1414D" w:rsidRDefault="00B87232" w:rsidP="007C2F7E">
            <w:pPr>
              <w:pStyle w:val="ListParagraph"/>
              <w:numPr>
                <w:ilvl w:val="0"/>
                <w:numId w:val="2"/>
              </w:numPr>
              <w:spacing w:after="0"/>
              <w:rPr>
                <w:highlight w:val="green"/>
              </w:rPr>
            </w:pPr>
            <w:r w:rsidRPr="00F1414D">
              <w:rPr>
                <w:highlight w:val="green"/>
              </w:rPr>
              <w:t xml:space="preserve">Teaching experience with students with Learning Differences. Certification or course work in the field of Special Education preferred. </w:t>
            </w:r>
          </w:p>
          <w:p w14:paraId="22F28644" w14:textId="77777777" w:rsidR="007C2F7E" w:rsidRPr="00F1414D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  <w:rPr>
                <w:highlight w:val="green"/>
              </w:rPr>
            </w:pPr>
            <w:r w:rsidRPr="00F1414D">
              <w:rPr>
                <w:highlight w:val="green"/>
              </w:rPr>
              <w:t>A combination of education and experience equivalent to college work completed after graduating from high schoo</w:t>
            </w:r>
            <w:r w:rsidR="00B87232" w:rsidRPr="00F1414D">
              <w:rPr>
                <w:highlight w:val="green"/>
              </w:rPr>
              <w:t xml:space="preserve">l. </w:t>
            </w:r>
          </w:p>
          <w:p w14:paraId="4D15A3F0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t>Experience in an academic setting is preferred</w:t>
            </w:r>
          </w:p>
          <w:p w14:paraId="523F01BB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t>Strong oral and written communication skills</w:t>
            </w:r>
          </w:p>
          <w:p w14:paraId="56325114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t>The ability to work with and communicate with a diverse population of constituents</w:t>
            </w:r>
          </w:p>
          <w:p w14:paraId="635D468D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t xml:space="preserve">The ability to work </w:t>
            </w:r>
            <w:r w:rsidR="00B87232" w:rsidRPr="000958B9">
              <w:t xml:space="preserve">with </w:t>
            </w:r>
            <w:r w:rsidR="00B87232">
              <w:t xml:space="preserve">upper and </w:t>
            </w:r>
            <w:r w:rsidRPr="000958B9">
              <w:t>middle school age students, parents, and colleagues</w:t>
            </w:r>
          </w:p>
          <w:p w14:paraId="0C688AB5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t>The ability to assemble, organize, and prepare data for records and reports</w:t>
            </w:r>
          </w:p>
          <w:p w14:paraId="219E026B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t>Strongly proficient in Microsoft Office including Outlook, Word, and Excel</w:t>
            </w:r>
          </w:p>
          <w:p w14:paraId="45CF9358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lastRenderedPageBreak/>
              <w:t>Strong organizational skills with the ability to maintain accurate records</w:t>
            </w:r>
          </w:p>
          <w:p w14:paraId="475473F4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t>The ability to maintain strict confidentiality when it comes to school business</w:t>
            </w:r>
          </w:p>
          <w:p w14:paraId="0DF14171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t>The willingness to learn new skills appropriate for the position</w:t>
            </w:r>
          </w:p>
          <w:p w14:paraId="7B6851CE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t xml:space="preserve">The ability to work in a dynamic environment dealing with a wide variety of challenges </w:t>
            </w:r>
          </w:p>
          <w:p w14:paraId="6C175028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t>The ability to work under pressure while holding one’s composure</w:t>
            </w:r>
          </w:p>
          <w:p w14:paraId="556B0657" w14:textId="77777777" w:rsidR="007C2F7E" w:rsidRPr="000958B9" w:rsidRDefault="007C2F7E" w:rsidP="007C2F7E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0958B9">
              <w:t xml:space="preserve">The ability to accomplish assigned tasks with specified deadlines  </w:t>
            </w:r>
          </w:p>
          <w:p w14:paraId="05DF2288" w14:textId="77777777" w:rsidR="007C2F7E" w:rsidRPr="00FA261D" w:rsidRDefault="007C2F7E" w:rsidP="00202E4D">
            <w:pPr>
              <w:rPr>
                <w:szCs w:val="18"/>
              </w:rPr>
            </w:pPr>
          </w:p>
        </w:tc>
      </w:tr>
    </w:tbl>
    <w:p w14:paraId="169EB875" w14:textId="77777777" w:rsidR="007C2F7E" w:rsidRDefault="007C2F7E"/>
    <w:sectPr w:rsidR="007C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E2C"/>
    <w:multiLevelType w:val="hybridMultilevel"/>
    <w:tmpl w:val="244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0122"/>
    <w:multiLevelType w:val="hybridMultilevel"/>
    <w:tmpl w:val="820A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1E46"/>
    <w:multiLevelType w:val="hybridMultilevel"/>
    <w:tmpl w:val="30825470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01A1"/>
    <w:multiLevelType w:val="hybridMultilevel"/>
    <w:tmpl w:val="78F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7E"/>
    <w:rsid w:val="00164166"/>
    <w:rsid w:val="00276125"/>
    <w:rsid w:val="007C2F7E"/>
    <w:rsid w:val="00B87232"/>
    <w:rsid w:val="00F1414D"/>
    <w:rsid w:val="00F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B9C2"/>
  <w15:chartTrackingRefBased/>
  <w15:docId w15:val="{D8CDF5E6-F434-4E77-994D-8079623C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F7E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uiPriority w:val="99"/>
    <w:rsid w:val="007C2F7E"/>
    <w:pPr>
      <w:spacing w:before="40"/>
    </w:pPr>
    <w:rPr>
      <w:b/>
      <w:color w:val="262626"/>
    </w:rPr>
  </w:style>
  <w:style w:type="paragraph" w:customStyle="1" w:styleId="BulletedList">
    <w:name w:val="Bulleted List"/>
    <w:basedOn w:val="Normal"/>
    <w:link w:val="BulletedListChar"/>
    <w:uiPriority w:val="99"/>
    <w:rsid w:val="007C2F7E"/>
    <w:pPr>
      <w:numPr>
        <w:numId w:val="1"/>
      </w:numPr>
    </w:pPr>
  </w:style>
  <w:style w:type="character" w:customStyle="1" w:styleId="apple-style-span">
    <w:name w:val="apple-style-span"/>
    <w:basedOn w:val="DefaultParagraphFont"/>
    <w:uiPriority w:val="99"/>
    <w:rsid w:val="007C2F7E"/>
    <w:rPr>
      <w:rFonts w:cs="Times New Roman"/>
    </w:rPr>
  </w:style>
  <w:style w:type="character" w:customStyle="1" w:styleId="BulletedListChar">
    <w:name w:val="Bulleted List Char"/>
    <w:basedOn w:val="DefaultParagraphFont"/>
    <w:link w:val="BulletedList"/>
    <w:uiPriority w:val="99"/>
    <w:locked/>
    <w:rsid w:val="007C2F7E"/>
    <w:rPr>
      <w:rFonts w:ascii="Calibri" w:eastAsia="Calibri" w:hAnsi="Calibri" w:cs="Times New Roman"/>
      <w:sz w:val="20"/>
    </w:rPr>
  </w:style>
  <w:style w:type="paragraph" w:styleId="ListParagraph">
    <w:name w:val="List Paragraph"/>
    <w:basedOn w:val="Normal"/>
    <w:uiPriority w:val="34"/>
    <w:qFormat/>
    <w:rsid w:val="007C2F7E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Normal1">
    <w:name w:val="Normal1"/>
    <w:rsid w:val="007C2F7E"/>
    <w:pPr>
      <w:spacing w:after="0" w:line="240" w:lineRule="auto"/>
    </w:pPr>
    <w:rPr>
      <w:rFonts w:ascii="Arial" w:eastAsia="Arial" w:hAnsi="Arial" w:cs="Arial"/>
      <w:color w:val="00000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A8C91236953499249504201A4BDE4" ma:contentTypeVersion="13" ma:contentTypeDescription="Create a new document." ma:contentTypeScope="" ma:versionID="7dcef157c7fa4b73887b5b829abc4fd9">
  <xsd:schema xmlns:xsd="http://www.w3.org/2001/XMLSchema" xmlns:xs="http://www.w3.org/2001/XMLSchema" xmlns:p="http://schemas.microsoft.com/office/2006/metadata/properties" xmlns:ns3="b04ad818-3187-40b0-8b79-f3d902cd106d" xmlns:ns4="62d4f4ac-d8e7-49bc-8cc3-0dcb6870b072" targetNamespace="http://schemas.microsoft.com/office/2006/metadata/properties" ma:root="true" ma:fieldsID="b1480ae863f8b566bdb6184fbb040239" ns3:_="" ns4:_="">
    <xsd:import namespace="b04ad818-3187-40b0-8b79-f3d902cd106d"/>
    <xsd:import namespace="62d4f4ac-d8e7-49bc-8cc3-0dcb6870b0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d818-3187-40b0-8b79-f3d902cd1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f4ac-d8e7-49bc-8cc3-0dcb6870b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193E0-D3E1-43FC-BE0E-861B733A4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2CD89-2360-4B7B-BA60-0F461811073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2d4f4ac-d8e7-49bc-8cc3-0dcb6870b072"/>
    <ds:schemaRef ds:uri="http://schemas.microsoft.com/office/2006/metadata/properties"/>
    <ds:schemaRef ds:uri="b04ad818-3187-40b0-8b79-f3d902cd106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14226E-6BEE-47C6-ABD7-CD7AA40D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ad818-3187-40b0-8b79-f3d902cd106d"/>
    <ds:schemaRef ds:uri="62d4f4ac-d8e7-49bc-8cc3-0dcb6870b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Kesselring</dc:creator>
  <cp:keywords/>
  <dc:description/>
  <cp:lastModifiedBy>Marcia Bernatavitz</cp:lastModifiedBy>
  <cp:revision>2</cp:revision>
  <dcterms:created xsi:type="dcterms:W3CDTF">2021-05-21T14:03:00Z</dcterms:created>
  <dcterms:modified xsi:type="dcterms:W3CDTF">2021-05-21T14:03:00Z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0x010100E14A8C91236953499249504201A4BDE4</vt:lpwstr>
  </property>
</Properties>
</file>